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附件1：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b w:val="1"/>
          <w:color w:val="auto"/>
          <w:position w:val="0"/>
          <w:sz w:val="44"/>
          <w:szCs w:val="44"/>
          <w:rFonts w:ascii="Calibri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44"/>
          <w:szCs w:val="44"/>
          <w:rFonts w:ascii="Calibri" w:eastAsia="宋体" w:hAnsi="宋体" w:hint="default"/>
        </w:rPr>
        <w:t>2017年度新疆乌鲁木齐市沙依巴克区机构</w:t>
      </w:r>
      <w:r>
        <w:rPr>
          <w:b w:val="1"/>
          <w:color w:val="auto"/>
          <w:position w:val="0"/>
          <w:sz w:val="44"/>
          <w:szCs w:val="44"/>
          <w:rFonts w:ascii="Calibri" w:eastAsia="宋体" w:hAnsi="宋体" w:hint="default"/>
        </w:rPr>
        <w:t>编制委员会办公室部门决算公开说明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b w:val="1"/>
          <w:color w:val="auto"/>
          <w:position w:val="0"/>
          <w:sz w:val="36"/>
          <w:szCs w:val="36"/>
          <w:rFonts w:ascii="Calibri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36"/>
          <w:szCs w:val="36"/>
          <w:rFonts w:ascii="Calibri" w:eastAsia="宋体" w:hAnsi="宋体" w:hint="default"/>
        </w:rPr>
        <w:t>目录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b w:val="1"/>
          <w:color w:val="auto"/>
          <w:position w:val="0"/>
          <w:sz w:val="36"/>
          <w:szCs w:val="36"/>
          <w:rFonts w:ascii="Calibri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630"/>
        <w:rPr>
          <w:b w:val="1"/>
          <w:color w:val="auto"/>
          <w:position w:val="0"/>
          <w:sz w:val="32"/>
          <w:szCs w:val="32"/>
          <w:rFonts w:ascii="Calibri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Calibri" w:eastAsia="宋体" w:hAnsi="宋体" w:hint="default"/>
        </w:rPr>
        <w:t>第一部分部门单位概况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一、主要职能、机构设置及人员情况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二、部门决算单位构成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630"/>
        <w:rPr>
          <w:b w:val="1"/>
          <w:color w:val="auto"/>
          <w:position w:val="0"/>
          <w:sz w:val="32"/>
          <w:szCs w:val="32"/>
          <w:rFonts w:ascii="Calibri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Calibri" w:eastAsia="宋体" w:hAnsi="宋体" w:hint="default"/>
        </w:rPr>
        <w:t>第二部分部门决算情况说明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一、部门收支总体情况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（一）部门收入支出决算总体情况说明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（二）部门收入总体情况说明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（三）部门支出总体情况说明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二、部门财政拨款收支情况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（一）财政拨款收支总体情况说明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（二）一般公共预算支出决算情况说明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（三）政府性基金预算收支决算情况说明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（四）政府性基金预算支出决算情况说明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三、部门结转结余情况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四、一般公共预算“三公”经费支出情况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五、机关运行经费支出情况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六、政府采购情况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七、其他重要事项的情况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（一）国有资产占用情况说明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（二）国有资产收益征缴情况说明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（三）部门项目支出情况和项目绩效评价情况说明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630"/>
        <w:rPr>
          <w:b w:val="1"/>
          <w:color w:val="auto"/>
          <w:position w:val="0"/>
          <w:sz w:val="32"/>
          <w:szCs w:val="32"/>
          <w:rFonts w:ascii="Calibri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Calibri" w:eastAsia="宋体" w:hAnsi="宋体" w:hint="default"/>
        </w:rPr>
        <w:t>第三部分专业名词解释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630"/>
        <w:rPr>
          <w:b w:val="1"/>
          <w:color w:val="auto"/>
          <w:position w:val="0"/>
          <w:sz w:val="32"/>
          <w:szCs w:val="32"/>
          <w:rFonts w:ascii="Calibri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Calibri" w:eastAsia="宋体" w:hAnsi="宋体" w:hint="default"/>
        </w:rPr>
        <w:t>第四部分部门决算报表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一、报表封面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二、部门收支总体情况（11张）：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《收入支出决算总表》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《收入决算表》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《支出决算表》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《收入支出决算表》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《项目收入支出决算表》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《行政事业类项目收入支出决算表》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《基本建设类项目收入支出决算表》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《支出决算明细表》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《基本支出决算明细表》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《项目支出决算明细表》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《财政专户管理资金收入支出决算表》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三、财政拨款收支情况（9张）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《财政拨款收入支出决算总表》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《一般公共预算财政拨款收入支出决算表》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《一般公共预算财政拨款支出决算明细表》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《一般公共预算财政拨款基本支出决算明细表》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《一般公共预算财政拨款项目支出决算明细表》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《政府性基金预算财政拨款收入支出决算表》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《政府性基金预算财政拨款支出决算明细表》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《政府性基金预算财政拨款基本支出决算明细表》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《政府性基金预算财政拨款项目支出决算明细表》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四、单位资产负责情况（1张）：《资产负债简表》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五、部门决算附表（5张）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《资产情况表》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《国有资产收益征缴情况表》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《基本数字表》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《机构人员情况表》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《非税收入征缴情况表》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六、填报说明附表（2张）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《部门决算相关信息统计表》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《政府采购情况表》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七、“三公”经费支出情况(1张)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《2017年度一般公共预算“三公”经费支出情况表》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b w:val="1"/>
          <w:color w:val="auto"/>
          <w:position w:val="0"/>
          <w:sz w:val="32"/>
          <w:szCs w:val="32"/>
          <w:rFonts w:ascii="Calibri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Calibri" w:eastAsia="宋体" w:hAnsi="宋体" w:hint="default"/>
        </w:rPr>
        <w:t>第一部分部门单位概况</w:t>
      </w:r>
    </w:p>
    <w:p>
      <w:pPr>
        <w:numPr>
          <w:ilvl w:val="0"/>
          <w:numId w:val="0"/>
        </w:numPr>
        <w:jc w:val="left"/>
        <w:shd w:val="clear" w:color="000000" w:fill="FFFFFF"/>
        <w:spacing w:lineRule="exact" w:line="60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一、部门单位基本情况</w:t>
      </w:r>
    </w:p>
    <w:p>
      <w:pPr>
        <w:numPr>
          <w:ilvl w:val="0"/>
          <w:numId w:val="0"/>
        </w:numPr>
        <w:jc w:val="left"/>
        <w:shd w:val="clear" w:color="000000" w:fill="FFFFFF"/>
        <w:spacing w:lineRule="exact" w:line="60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（一）主要职能</w:t>
      </w:r>
    </w:p>
    <w:p>
      <w:pPr>
        <w:numPr>
          <w:ilvl w:val="0"/>
          <w:numId w:val="0"/>
        </w:numPr>
        <w:jc w:val="left"/>
        <w:shd w:val="clear" w:color="000000" w:fill="FFFFFF"/>
        <w:spacing w:lineRule="exact" w:line="60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贯彻执行党和国家关于机构改革和机构编制管理的方针、政策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 xml:space="preserve">和法规。研究拟订 全区机构改革和机构编制管理的办法，并组织实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施；统一管理全区各级党政机关、人大、政协机关、法院、检察院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机关，人民团体及事业单位的机构编制工作；研究拟定全区机构改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革的总体方案，审核区级党政机关各部及人大、政协机关、法院、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检察院机关，人民团体的机构改革方案；审核街道办事处机构改革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方案；协调区级党政群各部门的职级配置与调整；协调区级各部门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之间以及区级各部门与街道办事处处之间的职责分工；审核区委、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 xml:space="preserve">区政府各部门的机构设置、人员编制和领导职数；人大、政协机关， 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法院、检察院机关的内设机构设置、人员编制和领导职数；研究拟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定全区事业单位管理体制和机构改革方案；建立预算内事业单位人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 xml:space="preserve">员编制的宏观管理制度；审核区直属及 部门所属事业单位的机构设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置、职责任务、人员编制、领导职数、编制结构及经费开支渠道；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负责事业单位登记只作；负责党政群机关、事业单位代码标识工作。</w:t>
      </w:r>
    </w:p>
    <w:p>
      <w:pPr>
        <w:numPr>
          <w:ilvl w:val="0"/>
          <w:numId w:val="0"/>
        </w:numPr>
        <w:jc w:val="both"/>
        <w:spacing w:lineRule="atLeast" w:line="700" w:before="0" w:after="0"/>
        <w:ind w:right="0" w:lef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 xml:space="preserve">   (二）机构设置</w:t>
      </w:r>
    </w:p>
    <w:p>
      <w:pPr>
        <w:numPr>
          <w:ilvl w:val="0"/>
          <w:numId w:val="0"/>
        </w:numPr>
        <w:jc w:val="left"/>
        <w:shd w:val="clear" w:color="000000" w:fill="FFFFFF"/>
        <w:spacing w:lineRule="exact" w:line="60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沙区区委编办系行政单位（下属事业单位沙依巴克区事业单位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登记管理局系参照），列区委机构序列。沙区区委编办行政（参照）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编制6个（参照编3个），实有7人。其单位车辆总数1辆，其中：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 xml:space="preserve">一般公务用车 1 辆。</w:t>
      </w:r>
    </w:p>
    <w:p>
      <w:pPr>
        <w:numPr>
          <w:ilvl w:val="0"/>
          <w:numId w:val="0"/>
        </w:numPr>
        <w:jc w:val="both"/>
        <w:spacing w:lineRule="atLeast" w:line="70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 xml:space="preserve">干部职工构成  我办共有干部7人，其中国家在编全额财政供养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人员为7人，在编干部中，少数民族2名，占全委干部的28.5%，共产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党员7名，占全体干部的100%。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二、部门决算单位构成。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新疆乌鲁木齐市沙依巴克区机构编制委员会办公室2017年部门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决算报表编制范围的单位共计1个，为行政单位。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 xml:space="preserve">纳入新疆乌鲁木齐市沙依巴克区机构编制委员会办公室 2017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年部门决算编制范围的单位名单见下表：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</w:p>
    <w:tbl>
      <w:tblID w:val="0"/>
      <w:tblPr>
        <w:tblCellMar>
          <w:left w:w="108" w:type="dxa"/>
          <w:top w:w="0" w:type="dxa"/>
          <w:right w:w="108" w:type="dxa"/>
          <w:bottom w:w="0" w:type="dxa"/>
        </w:tblCellMar>
        <w:tblW w:w="8379" w:type="dxa"/>
        <w:tblInd w:w="93" w:type="dxa"/>
        <w:tblLook w:val="0004A0" w:firstRow="1" w:lastRow="0" w:firstColumn="1" w:lastColumn="0" w:noHBand="0" w:noVBand="1"/>
        <w:tblLayout w:type="fixed"/>
      </w:tblPr>
      <w:tblGrid>
        <w:gridCol w:w="2425"/>
        <w:gridCol w:w="3435"/>
        <w:gridCol w:w="251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atleast" w:val="499"/>
          <w:hidden w:val="0"/>
        </w:trPr>
        <w:tc>
          <w:tcPr>
            <w:tcW w:type="dxa" w:w="2425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序号</w:t>
            </w:r>
          </w:p>
        </w:tc>
        <w:tc>
          <w:tcPr>
            <w:tcW w:type="dxa" w:w="3435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单位名称</w:t>
            </w:r>
          </w:p>
        </w:tc>
        <w:tc>
          <w:tcPr>
            <w:tcW w:type="dxa" w:w="2519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备注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99"/>
          <w:hidden w:val="0"/>
        </w:trPr>
        <w:tc>
          <w:tcPr>
            <w:tcW w:type="dxa" w:w="2425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</w:t>
            </w:r>
          </w:p>
        </w:tc>
        <w:tc>
          <w:tcPr>
            <w:tcW w:type="dxa" w:w="343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新疆乌鲁木齐市沙依巴克区机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构编制委员会办公室（本级）</w:t>
            </w:r>
          </w:p>
        </w:tc>
        <w:tc>
          <w:tcPr>
            <w:tcW w:type="dxa" w:w="251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99"/>
          <w:hidden w:val="0"/>
        </w:trPr>
        <w:tc>
          <w:tcPr>
            <w:tcW w:type="dxa" w:w="2425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343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51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99"/>
          <w:hidden w:val="0"/>
        </w:trPr>
        <w:tc>
          <w:tcPr>
            <w:tcW w:type="dxa" w:w="2425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343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51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99"/>
          <w:hidden w:val="0"/>
        </w:trPr>
        <w:tc>
          <w:tcPr>
            <w:tcW w:type="dxa" w:w="2425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343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51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1"/>
          <w:color w:val="auto"/>
          <w:position w:val="0"/>
          <w:sz w:val="32"/>
          <w:szCs w:val="32"/>
          <w:rFonts w:ascii="Calibri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b w:val="1"/>
          <w:color w:val="auto"/>
          <w:position w:val="0"/>
          <w:sz w:val="32"/>
          <w:szCs w:val="32"/>
          <w:rFonts w:ascii="Calibri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Calibri" w:eastAsia="宋体" w:hAnsi="宋体" w:hint="default"/>
        </w:rPr>
        <w:t>第二部分部门决算情况说明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549"/>
        <w:rPr>
          <w:b w:val="1"/>
          <w:color w:val="auto"/>
          <w:position w:val="0"/>
          <w:sz w:val="32"/>
          <w:szCs w:val="32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一、部门收支总体情况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（一）部门收入支出决算总体情况说明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2017年度收入1212047.98元，与上年相比，增加349059.26元，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增长40.45%，增长变化主要原因是：补交养老金职业年金。支出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1206775.1元，与上年相比，增加330344.68元，增长37.69%，增长变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化主要原因是：补交养老金职业年金。结余27070.76元，与上年相比，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增加5272.88元，增长24.19%。增减变化主要原因是：公积金社保金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正常结余。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与预算收入926168元相比，增加285879.98元，增长30.87%，增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加原因：补交养老金职业年金。与预算支出相比，增加280607.1元，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增长30.3%，增加原因：补交养老金职业年金。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其他有关说明内容：无。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（二）部门收入总体情况说明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本年收入合计1212047.98元，其中：财政拨款收入1211881.03元，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占99.99%；上级补助收入0元，占0%；事业收入0元，占0%；经营收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入0元，占0%；附属单位缴款0元，占0%；其他收入166.95元，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占0.01%。增长变化的主要原因是：利息收入增加。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与预算财政拨款收入926168元相比，增加285713.03元，增长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30.85%，增加原因：补交养老金职业年金。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其他有关说明内容：无。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（三）部门支出总体情况说明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本年支出合计1206775.1元，其中：基本支出1177457.25元，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占97.57%；项目支出29317.85元，占2.43%；上缴上级支出0元，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占0%；经营支出0元，占0%；对附属单位补助支出0元，占0%。增加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的主要原因是：补交养老金职业年金。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与预算财政拨款支出926168元相比，增加280607.1元，增长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30.3%，增加原因：补交养老金职业年金。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其他有关说明内容：无。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二、部门财政拨款收支情况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（一）财政拨款收支总体情况说明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2017年度财政拨款收入1211881.03元，与上年相比，增加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348997.79元，增长40.45%。增长变化的主要原因是：补交养老金职业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年金。财政拨款支出1206608.15元，与上年相比，增加330283.21元，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增长37.69%。其中：基本支出1177290.3元，项目支出29317.85元。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增长变化的主要原因是：补交养老金职业年金。财政拨款结转结余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27070.76元，与上年相比，增加5272.88元，增长24.19%。增长变化的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主要原因是：公积金社保金正常结余。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与预算收入926168元相比，增加285713.03元，增长30.85%，增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加原因：补交养老金职业年金。与预算支出相比，增加283440.15元，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增长30.6%，增加原因：补交养老金职业年金。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其他有关说明内容：无。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70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（二）一般公共预算支出决算情况说明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2017年度一般公共预算财政拨款支出1206608.15元。与上年相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比，增加330283.21元，增长37.69%。增长变化的主要原因是：补交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养老金职业年金。其中：按功能分类科目，一般公共服务支出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905393.27元，社会保障和就业支出301214.88元。按经济分类科目，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工资福利支出1048806.59元，商品和服务支出69163.56元，对个人和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家庭的补助支出83688元，其他资本性支出4950元。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与预算相比一般公共服务支出增加93165.27元，增长11.47%。社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会保障和就业支出增加187274.88元，增长164.36%，增加原因：补交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养老金职业年金。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其他有关说明内容：无。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（三）政府性基金预算收支决算情况说明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2017年度政府性基金预算财政拨款收入0元，与上年相比，增加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0元，增长0%。增长变化的主要原因是：无。政府性基金预算财政拨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款支出0元，与上年相比，增加长0元，增长0%。增减变化的主要原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因是：无。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与预算相比：本单位无此项预算收入。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其他有关说明内容：无。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 xml:space="preserve">  （四）政府性基金预算支出决算情况说明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2017年度政府性基金预算支出0元。与上年相比，增加0元，增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长0%。增长变化的主要原因是：无。其中：按功能分类科目，支出0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 xml:space="preserve">元，支出0 元。按经济分类科目，支出 0元，支出0元。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与预算相比：本单位无此项预算支出。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其他有关说明内容：无。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三、部门结转结余情况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年末结转结余27070.76元。与上年相比，增加5272.88元，增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长24.19%。其中财政拨款结转结余27070.76元。与上年相比，增加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5272.88元，增长24.19%。增减变化的主要原因是：公积金社保金正常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结余。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其他有关说明内容：无。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四、一般公共预算“三公”经费支出情况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2017年度一般公共预算“三公”经费支出决算19950元，比上年增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加0元，增长0%，增加原因是：无。其中，因公出国（境）费支出0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元，占0%，比上年增加0元，增长0%，增加原因是：无；公务用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车购置及运行维护费支出19950元，占100%，比上年增加0元，增长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0%，增加原因是：无；公务接待费支出0元，占0%，比上年增加0元，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增长0%，增加原因是：无。具体情况如下：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因公出国（境）费支出0元。新疆乌鲁木齐市沙依巴克区机构编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制委员会办公室单位全年使用一般公共预算财政拨款安排的出国（境）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团组0个，累计0人次。开支内容包括：无。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公务用车购置及运行维护费19950元，其中，公务用车购置0元，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公务用车运行维护费19950元。主要用于一般公务用车维修费与燃油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费等。2017年，新疆乌鲁木齐市沙依巴克区机构编制委员会办公室单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位一般公共财政拨款安排的公务用车购置量0辆，保有量为1辆。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公务接待费0元。具体是：国内公务接待支出0元。新疆乌鲁木齐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市沙依巴克区机构编制委员会办公室单位国内公务接待0批次，0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人次。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与预算19950元相比情况：无增减变动。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其他有关说明内容：无。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五、机关运行经费支出情况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2017年度新疆乌鲁木齐市沙依巴克区机构编制委员会办公室单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位机关运行经费支出44795.71元，比上年增加3063.88元，增长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7.34%，主要原因是：办公费增加。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其他有关说明内容：无。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六、政府采购情况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新疆乌鲁木齐市沙依巴克区委员会机构编制办公室单位政府采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购计划0元，其中：政府采购货物支出0元、政府采购工程支出0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元、政府采购服务支出0元；实际采购0元，其中：政府采购货物支出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0元、政府采购工程支出0元、政府采购服务支出0元。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其他有关说明内容：无。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七、其他重要事项的情况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（一）国有资产占用情况说明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截至2017年12月31日，资产总计245300.76元，其中：流动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资产30944.76元，固定资产214356元，其中：房屋0（平方米），价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值0元，共有车辆1辆，价值107400元，其中：部级领导干部用车0辆、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一般公务用车1辆、一般执法执勤用车0辆、特种专业技术用车0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辆、其他用车0辆；单位价值50万元以上通用设备0台（套）、单位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价值100万元以上专用设备0台（套），其他固定资产价值106956元。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其他有关说明内容：无。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（二）国有资产收益征缴情况说明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截至2017年12月31日，中共沙依巴克区委员会机构编制委员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会办公室单位资产有偿使用收入合计0元，资产处置收入合计0元。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其中：已缴国库0元，已缴财政专户0元，应缴未缴0元，单位留用0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元。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其他有关说明内容：无。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（三）部门项目支出情况和项目绩效评价情况说明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2017年度，本部门单位实行绩效管理的项目1个，涉及预算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29317.85元，项目支出决算29317.85元。年末本部门单位民生项目和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重点支出项目的绩效评价开展情况及结果：绩效情况见附件。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其他有关说明内容：无。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八、《基本建设类项目收入支出决算表》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561"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十二、《财政专户管理资金收入支出决算表》,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561"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十八、《政府性基金预算财政拨款收入支出决算表》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十九、《政府性基金预算财政拨款支出决算明细表》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二十、《政府性基金预算财政拨款基本支出决算明细表》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二十一、《政府性基金预算财政拨款项目支出决算明细表》。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二十四、《国有资产收益征缴情况表》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二十九、《政府采购情况表》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以上报表为空表，原因是没有该项收支。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561"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630"/>
        <w:rPr>
          <w:b w:val="1"/>
          <w:color w:val="auto"/>
          <w:position w:val="0"/>
          <w:sz w:val="32"/>
          <w:szCs w:val="32"/>
          <w:rFonts w:ascii="Calibri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Calibri" w:eastAsia="宋体" w:hAnsi="宋体" w:hint="default"/>
        </w:rPr>
        <w:t>第三部分专业名词解释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财政拨款收入：指同级财政当年拨付的资金。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上级补助收入：指事业单位从主管部门和上级单位取得的非财政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补助收入。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事业收入：指事业单位开展专业业务活动及其辅助活动所取得的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收入。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经营收入：指事业单位在专业业务活动及其辅助活动之外开展非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独立核算经营活动取得的收入。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附属单位缴款：指事业单位附属的独立核算单位按有关规定上缴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的收入。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其他收入：指除上述“财政拨款收入”、“事业收入”、“经营收入”、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“附属单位缴款”等之外取得的收入。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用事业基金弥补收支差额：指事业单位在当年的“财政拨款收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入”、“财政拨款结转和结余资金”、“事业收入”、“事业单位经营收入”、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“其他收入”不足以安排当年支出的情况下，使用以前年度积累的事业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基金（即事业单位当年收支相抵后按国家规定提取、用于弥补以后年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度收支差额的基金）弥补本年度收支缺口的资金。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上年结转和结余：指以前年度支出预算因客观条件变化未执行完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毕、结转到本年度按有关规定继续使用的资金，既包括财政拨款结转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和结余，也包括事业收入、经营收入、其他收入的结转和结余。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结余分配：反映单位当年结余的分配情况。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年末结转和结余：指本年度或以前年度预算安排、因客观条件发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生变化无法按原计划实施，需要延迟到以后年度按有关规定继续使用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的资金，既包括财政拨款结转和结余，也包括事业收入、经营收入、其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他收入的结转和结余。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基本支出：指为保障机构正常运转、完成日常工作任务而发生的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人员支出和公用支出。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项目支出：指在基本支出之外为完成特定行政任务和事业发展目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标所发生的支出。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经营支出：指事业单位在专业业务活动及其辅助活动之外开展非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独立核算经营活动发生的支出。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对附属单位补助支出：指事业单位发生的用非财政预算资金对附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属单位的补助支出。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“三公”经费：指用一般公共预算财政拨款安排的因公出国（境）费、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公务用车购置及运行费和公务接待费。其中，因公出国（境）费反映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单位公务出国（境）的住宿费、旅费、伙食补助费、杂费、培训费等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支出；公务用车购置及运行费反映单位公务用车购置费及租用费、燃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料费、维修费、过路过桥费、保险费、安全奖励费用等支出；公务接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待费反映单位按规定开支的各类公务接待（含外宾接待）支出。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机关运行经费：为保障行政单位（含参照公务员法管理的事业单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位）运行用于购买货物和服务的各项资金，包括办公及印刷费、邮电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费、差旅费、会议费、福利费、日常维修费、专用材料及一般设备购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置费、办公用房水电费、办公用房取暖费、办公用房物业管理费、公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务用车运行维护费以及其他费用。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本单位支出功能分类说明。2013601款是指其他共产党事务支出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行政运行。2013699款是指其他共产党事务支出。2080505款是指机关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事业单位基本养老保险缴费支出。2080506款是指机关事业单位职业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年金缴费支出。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其他有关说明内容：无。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b w:val="1"/>
          <w:color w:val="auto"/>
          <w:position w:val="0"/>
          <w:sz w:val="32"/>
          <w:szCs w:val="32"/>
          <w:rFonts w:ascii="Calibri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Calibri" w:eastAsia="宋体" w:hAnsi="宋体" w:hint="default"/>
        </w:rPr>
        <w:t>第四部分部门决算报表（见附表）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b w:val="1"/>
          <w:color w:val="auto"/>
          <w:position w:val="0"/>
          <w:sz w:val="32"/>
          <w:szCs w:val="32"/>
          <w:rFonts w:ascii="Calibri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一、报表封面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二、《收入支出决算总表》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三、《收入决算表》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四、《支出决算表》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五、《收入支出决算表》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六、《项目收入支出决算表》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七、《行政事业类项目收入支出决算表》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八、《基本建设类项目收入支出决算表》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九、《支出决算明细表》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十、《基本支出决算明细表》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十一、《项目支出决算明细表》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十二、《财政专户管理资金收入支出决算表》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十三、《财政拨款收入支出决算总表》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十四、《一般公共预算财政拨款收入支出决算表》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十五、《一般公共预算财政拨款支出决算明细表》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十六、《一般公共预算财政拨款基本支出决算明细表》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十七、《一般公共预算财政拨款项目支出决算明细表》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十八、《政府性基金预算财政拨款收入支出决算表》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十九、《政府性基金预算财政拨款支出决算明细表》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二十、《政府性基金预算财政拨款基本支出决算明细表》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二十一、《政府性基金预算财政拨款项目支出决算明细表》。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二十二、《资产负债简表》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二十三、《资产情况表》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二十四、《国有资产收益征缴情况表》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二十五、《基本数字表》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二十六、《机构人员情况表》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二十七、《非税收入征缴情况表》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二十八、《部门决算相关信息统计表》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二十九、《政府采购情况表》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56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三十、《2017年度一般公共预算“三公”经费支出情况表》</w:t>
      </w: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multilevel"/>
    <w:nsid w:val="2F000000"/>
    <w:tmpl w:val="1F000014"/>
    <w:lvl w:ilvl="0">
      <w:lvlJc w:val="left"/>
      <w:numFmt w:val="japaneseCounting"/>
      <w:start w:val="1"/>
      <w:suff w:val="tab"/>
      <w:pPr>
        <w:ind w:left="2215" w:hanging="1080"/>
        <w:jc w:val="both"/>
      </w:pPr>
      <w:rPr>
        <w:shd w:val="clear"/>
        <w:sz w:val="20"/>
        <w:szCs w:val="20"/>
        <w:w w:val="100"/>
      </w:rPr>
      <w:lvlText w:val="（%1）"/>
    </w:lvl>
    <w:lvl w:ilvl="1">
      <w:lvlJc w:val="left"/>
      <w:numFmt w:val="lowerLetter"/>
      <w:start w:val="1"/>
      <w:suff w:val="tab"/>
      <w:pPr>
        <w:ind w:left="148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90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32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74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316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58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400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420" w:hanging="420"/>
        <w:jc w:val="both"/>
      </w:pPr>
      <w:lvlText w:val="%9."/>
    </w:lvl>
  </w:abstractNum>
  <w:abstractNum w:abstractNumId="1">
    <w:multiLevelType w:val="hybridMultilevel"/>
    <w:nsid w:val="2F000001"/>
    <w:tmpl w:val="1F002411"/>
    <w:lvl w:ilvl="0">
      <w:lvlJc w:val="left"/>
      <w:numFmt w:val="japaneseCounting"/>
      <w:start w:val="1"/>
      <w:suff w:val="tab"/>
      <w:pPr>
        <w:ind w:left="720" w:hanging="720"/>
        <w:jc w:val="both"/>
      </w:pPr>
      <w:rPr>
        <w:shd w:val="clear"/>
        <w:sz w:val="20"/>
        <w:szCs w:val="20"/>
        <w:w w:val="100"/>
      </w:rPr>
      <w:lvlText w:val="(%1）"/>
    </w:lvl>
    <w:lvl w:ilvl="1">
      <w:lvlJc w:val="left"/>
      <w:numFmt w:val="lowerLetter"/>
      <w:start w:val="1"/>
      <w:suff w:val="tab"/>
      <w:pPr>
        <w:ind w:left="84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</w:pPr>
      <w:lvlText w:val="%9.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basedOn w:val="PO1"/>
    <w:qFormat/>
    <w:uiPriority w:val="26"/>
    <w:pPr>
      <w:autoSpaceDE w:val="1"/>
      <w:autoSpaceDN w:val="1"/>
      <w:ind w:firstLine="420"/>
      <w:widowControl/>
      <w:wordWrap/>
    </w:p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paragraph">
    <w:name w:val="header"/>
    <w:basedOn w:val="PO1"/>
    <w:link w:val="PO153"/>
    <w:uiPriority w:val="152"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3" w:type="character">
    <w:name w:val="页眉 Char"/>
    <w:basedOn w:val="PO2"/>
    <w:link w:val="PO152"/>
    <w:uiPriority w:val="153"/>
    <w:rPr>
      <w:shd w:val="clear"/>
      <w:sz w:val="18"/>
      <w:szCs w:val="18"/>
      <w:w w:val="100"/>
    </w:rPr>
  </w:style>
  <w:style w:styleId="PO154" w:type="paragraph">
    <w:name w:val="footer"/>
    <w:basedOn w:val="PO1"/>
    <w:link w:val="PO155"/>
    <w:uiPriority w:val="154"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5" w:type="character">
    <w:name w:val="页脚 Char"/>
    <w:basedOn w:val="PO2"/>
    <w:link w:val="PO154"/>
    <w:uiPriority w:val="155"/>
    <w:rPr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webSettings" Target="webSettings.xml"/>
  <Relationship Id="rId2" Type="http://schemas.openxmlformats.org/officeDocument/2006/relationships/fontTable" Target="fontTable.xml"/>
  <Relationship Id="rId3" Type="http://schemas.openxmlformats.org/officeDocument/2006/relationships/settings" Target="settings.xml"/>
  <Relationship Id="rId4" Type="http://schemas.openxmlformats.org/officeDocument/2006/relationships/styles" Target="styles.xml"/>
  <Relationship Id="rId5" Type="http://schemas.openxmlformats.org/officeDocument/2006/relationships/numbering" Target="numbering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微软中国</Company>
  <DocSecurity>0</DocSecurity>
  <HyperlinksChanged>false</HyperlinksChanged>
  <Lines>47</Lines>
  <LinksUpToDate>false</LinksUpToDate>
  <Pages>15</Pages>
  <Paragraphs>13</Paragraphs>
  <Words>1003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:creator>黄璐</dc:creator>
  <dcterms:modified xsi:type="dcterms:W3CDTF">2018-05-15T04:03:00Z</dcterms:modified>
  <revision>3</revision>
</coreProperties>
</file>